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'1.0' encoding='UTF-8'?>
<Relationships xmlns="http://schemas.openxmlformats.org/package/2006/relationships"><Relationship Type="http://schemas.openxmlformats.org/officeDocument/2006/relationships/officeDocument" Target="word/document.xml" Id="Rade8bde276fe468d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before="800" w:after="200"/>
        <w:jc w:val="center"/>
      </w:pPr>
      <w:r>
        <w:rPr>
          <w:rFonts w:ascii="Calibri" w:hAnsi="Calibri" w:eastAsia="Microsoft YaHei"/>
          <w:b/>
          <w:color w:val="2E5C4E"/>
          <w:spacing w:val="60"/>
          <w:sz w:val="56"/>
        </w:rPr>
        <w:t>期权希腊字母定价引擎</w:t>
      </w:r>
    </w:p>
    <w:p>
      <w:pPr>
        <w:spacing w:after="600"/>
        <w:jc w:val="center"/>
      </w:pPr>
      <w:r>
        <w:rPr>
          <w:rFonts w:ascii="Calibri" w:hAnsi="Calibri" w:eastAsia="Microsoft YaHei"/>
          <w:color w:val="3D7A66"/>
          <w:sz w:val="32"/>
        </w:rPr>
        <w:t>使用手册</w:t>
      </w:r>
    </w:p>
    <w:p>
      <w:pPr>
        <w:jc w:val="center"/>
      </w:pPr>
      <w:r>
        <w:rPr>
          <w:color w:val="8A8AA2"/>
          <w:sz w:val="21"/>
        </w:rPr>
        <w:t>基于简化 Black-Scholes-Merton 模型 (r=0, q=0)</w:t>
      </w:r>
    </w:p>
    <w:p>
      <w:pPr>
        <w:pStyle w:val="Heading1"/>
      </w:pPr>
      <w:r>
        <w:t>目录</w:t>
      </w:r>
      <w:bookmarkStart w:name="_Toc000" w:id="1"/>
      <w:bookmarkEnd w:id="1"/>
    </w:p>
    <w:p>
      <w:pPr>
        <w:spacing w:after="200"/>
      </w:pPr>
      <w:r>
        <w:rPr>
          <w:color w:val="8A8AA2"/>
          <w:sz w:val="18"/>
        </w:rPr>
        <w:t>右键目录，选择"更新域"可刷新页码</w:t>
      </w:r>
    </w:p>
    <w:p>
      <w:r>
        <w:fldChar w:fldCharType="begin"/>
      </w:r>
      <w:r>
        <w:instrText xml:space="preserve"> TOC \o "1-3" \h \z \u </w:instrText>
      </w:r>
      <w:r>
        <w:fldChar w:fldCharType="separate"/>
      </w:r>
    </w:p>
    <w:p>
      <w:pPr>
        <w:pStyle w:val="TOC1"/>
      </w:pPr>
      <w:r>
        <w:t>一、产品概述</w:t>
      </w:r>
      <w:r>
        <w:tab/>
      </w:r>
      <w:r>
        <w:t>3</w:t>
      </w:r>
    </w:p>
    <w:p>
      <w:pPr>
        <w:pStyle w:val="TOC1"/>
      </w:pPr>
      <w:r>
        <w:t>二、定价计算器</w:t>
      </w:r>
      <w:r>
        <w:tab/>
      </w:r>
      <w:r>
        <w:t>4</w:t>
      </w:r>
    </w:p>
    <w:p>
      <w:pPr>
        <w:pStyle w:val="TOC1"/>
      </w:pPr>
      <w:r>
        <w:t>三、反向推算引擎</w:t>
      </w:r>
      <w:r>
        <w:tab/>
      </w:r>
      <w:r>
        <w:t>5</w:t>
      </w:r>
    </w:p>
    <w:p>
      <w:pPr>
        <w:pStyle w:val="TOC2"/>
      </w:pPr>
      <w:r>
        <w:t>3.1 S + 希腊字母 → 权利金</w:t>
      </w:r>
      <w:r>
        <w:tab/>
      </w:r>
      <w:r>
        <w:t>5</w:t>
      </w:r>
    </w:p>
    <w:p>
      <w:pPr>
        <w:pStyle w:val="TOC2"/>
      </w:pPr>
      <w:r>
        <w:t>3.2 权利金 + 希腊字母 → 期货价</w:t>
      </w:r>
      <w:r>
        <w:tab/>
      </w:r>
      <w:r>
        <w:t>6</w:t>
      </w:r>
    </w:p>
    <w:p>
      <w:pPr>
        <w:pStyle w:val="TOC2"/>
      </w:pPr>
      <w:r>
        <w:t>3.3 权利金 + S → 波动率</w:t>
      </w:r>
      <w:r>
        <w:tab/>
      </w:r>
      <w:r>
        <w:t>7</w:t>
      </w:r>
    </w:p>
    <w:p>
      <w:pPr>
        <w:pStyle w:val="TOC2"/>
      </w:pPr>
      <w:r>
        <w:t>3.4 S + σ + 希腊字母 → 剩余期限</w:t>
      </w:r>
      <w:r>
        <w:tab/>
      </w:r>
      <w:r>
        <w:t>7</w:t>
      </w:r>
    </w:p>
    <w:p>
      <w:pPr>
        <w:pStyle w:val="TOC1"/>
      </w:pPr>
      <w:r>
        <w:t>四、敏感性分析</w:t>
      </w:r>
      <w:r>
        <w:tab/>
      </w:r>
      <w:r>
        <w:t>8</w:t>
      </w:r>
    </w:p>
    <w:p>
      <w:pPr>
        <w:pStyle w:val="TOC1"/>
      </w:pPr>
      <w:r>
        <w:t>五、时间衰减研究</w:t>
      </w:r>
      <w:r>
        <w:tab/>
      </w:r>
      <w:r>
        <w:t>9</w:t>
      </w:r>
    </w:p>
    <w:p>
      <w:pPr>
        <w:pStyle w:val="TOC1"/>
      </w:pPr>
      <w:r>
        <w:t>六、希腊字母图谱</w:t>
      </w:r>
      <w:r>
        <w:tab/>
      </w:r>
      <w:r>
        <w:t>10</w:t>
      </w:r>
    </w:p>
    <w:p>
      <w:pPr>
        <w:pStyle w:val="TOC1"/>
      </w:pPr>
      <w:r>
        <w:t>七、理论指南</w:t>
      </w:r>
      <w:r>
        <w:tab/>
      </w:r>
      <w:r>
        <w:t>11</w:t>
      </w:r>
    </w:p>
    <w:p>
      <w:pPr>
        <w:pStyle w:val="TOC1"/>
      </w:pPr>
      <w:r>
        <w:t>八、参数含义速查表</w:t>
      </w:r>
      <w:r>
        <w:tab/>
      </w:r>
      <w:r>
        <w:t>12</w:t>
      </w:r>
    </w:p>
    <w:p>
      <w:pPr>
        <w:pStyle w:val="TOC1"/>
      </w:pPr>
      <w:r>
        <w:t>九、快速上手示例</w:t>
      </w:r>
      <w:r>
        <w:tab/>
      </w:r>
      <w:r>
        <w:t>13</w:t>
      </w:r>
    </w:p>
    <w:p>
      <w:r>
        <w:fldChar w:fldCharType="end"/>
      </w:r>
    </w:p>
    <w:p>
      <w:pPr>
        <w:sectPr>
          <w:type w:val="nextPage"/>
          <w:pgSz w:w="11906" w:h="16838"/>
          <w:pgMar w:top="1800" w:right="1440" w:bottom="1440" w:left="1440" w:header="720" w:footer="720"/>
        </w:sectPr>
      </w:pPr>
    </w:p>
    <w:p>
      <w:pPr>
        <w:pStyle w:val="Heading1"/>
      </w:pPr>
      <w:r>
        <w:t>一、产品概述</w:t>
      </w:r>
      <w:bookmarkStart w:name="_Toc001" w:id="2"/>
      <w:bookmarkEnd w:id="2"/>
    </w:p>
    <w:p>
      <w:r>
        <w:t>本引擎是一款面向期权交易者、量化研究员和金融工程专业学生的在线工具，基于简化版 Black-Scholes-Merton (BSM) 定价框架构建。</w:t>
      </w:r>
    </w:p>
    <w:p>
      <w:r>
        <w:t>核心设计原则："所见即所得"——所有计算在浏览器端实时完成，无需后端服务器，数据不会上传至任何服务器，确保敏感交易数据的隐私安全。</w:t>
      </w:r>
    </w:p>
    <w:p>
      <w:pPr>
        <w:pStyle w:val="Heading2"/>
      </w:pPr>
      <w:r>
        <w:t>1.1 模型假设</w:t>
      </w:r>
    </w:p>
    <w:p>
      <w:r>
        <w:t>本引擎采用 r=0、q=0 的简化 BSM 模型，即假设无风险利率和股息率均为零。这种简化在以下场景中具有高度合理性：</w:t>
      </w:r>
    </w:p>
    <w:p>
      <w:pPr>
        <w:ind w:left="720" w:hanging="360" w:firstLine="0"/>
      </w:pPr>
      <w:r>
        <w:t>• 期货期权：期货合约不涉及股息，且短期期货的利率调整效应通常在 1% 以内</w:t>
      </w:r>
    </w:p>
    <w:p>
      <w:pPr>
        <w:ind w:left="720" w:hanging="360" w:firstLine="0"/>
      </w:pPr>
      <w:r>
        <w:t>• 短期期权（&lt; 90 天）：利率对期权定价的影响可忽略</w:t>
      </w:r>
    </w:p>
    <w:p>
      <w:pPr>
        <w:ind w:left="720" w:hanging="360" w:firstLine="0"/>
      </w:pPr>
      <w:r>
        <w:t>• 波动率曲面分析：当关注希腊字母的相对变化和敏感性时，利率的绝对偏移不影响核心结论</w:t>
      </w:r>
    </w:p>
    <w:p>
      <w:r>
        <w:t>简化后的核心定价公式：</w:t>
      </w:r>
    </w:p>
    <w:p>
      <w:pPr>
        <w:spacing w:before="40" w:after="40"/>
        <w:ind w:left="480" w:firstLine="0"/>
      </w:pPr>
      <w:r>
        <w:rPr>
          <w:rFonts w:ascii="Consolas" w:hAnsi="Consolas" w:eastAsia="Microsoft YaHei"/>
          <w:color w:val="4A4A6A"/>
          <w:sz w:val="20"/>
        </w:rPr>
        <w:t>d₁ = [ln(S/K) + 0.5·σ²·T] / (σ·√T)</w:t>
      </w:r>
    </w:p>
    <w:p>
      <w:pPr>
        <w:spacing w:before="40" w:after="40"/>
        <w:ind w:left="480" w:firstLine="0"/>
      </w:pPr>
      <w:r>
        <w:rPr>
          <w:rFonts w:ascii="Consolas" w:hAnsi="Consolas" w:eastAsia="Microsoft YaHei"/>
          <w:color w:val="4A4A6A"/>
          <w:sz w:val="20"/>
        </w:rPr>
        <w:t>C = S·N(d₁) - K·N(d₂)      (Call 看涨)</w:t>
      </w:r>
    </w:p>
    <w:p>
      <w:pPr>
        <w:spacing w:before="40" w:after="40"/>
        <w:ind w:left="480" w:firstLine="0"/>
      </w:pPr>
      <w:r>
        <w:rPr>
          <w:rFonts w:ascii="Consolas" w:hAnsi="Consolas" w:eastAsia="Microsoft YaHei"/>
          <w:color w:val="4A4A6A"/>
          <w:sz w:val="20"/>
        </w:rPr>
        <w:t>P = K·N(-d₂) - S·N(-d₁)     (Put 看跌)</w:t>
      </w:r>
    </w:p>
    <w:p>
      <w:pPr>
        <w:pStyle w:val="Heading2"/>
      </w:pPr>
      <w:r>
        <w:t>1.2 六大功能模块</w:t>
      </w:r>
    </w:p>
    <w:p>
      <w:r>
        <w:t>引擎由六个相互关联的功能模块组成，覆盖从正向定价到反向推算、从静态分析到动态可视化的完整工作流：</w:t>
      </w:r>
    </w:p>
    <w:tbl>
      <w:tblPr>
        <w:tblW w:w="5000" w:type="pct"/>
        <w:tblBorders>
          <w:top w:val="single" w:color="2E5C4E" w:sz="12"/>
          <w:bottom w:val="single" w:color="2E5C4E" w:sz="12"/>
          <w:insideH w:val="single" w:color="C8D4CE" w:sz="4"/>
        </w:tblBorders>
      </w:tblPr>
      <w:tblGrid>
        <w:gridCol w:w="2000"/>
        <w:gridCol w:w="4000"/>
        <w:gridCol w:w="3000"/>
      </w:tblGrid>
      <w:tr>
        <w:trPr>
          <w:tblHeader/>
        </w:trPr>
        <w:tc>
          <w:tcPr>
            <w:tcW w:w="0" w:type="auto"/>
            <w:shd w:val="clear" w:fill="E8F0EC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b/>
                <w:color w:val="1A1A2E"/>
                <w:sz w:val="20"/>
              </w:rPr>
              <w:t>模块名称</w:t>
            </w:r>
          </w:p>
        </w:tc>
        <w:tc>
          <w:tcPr>
            <w:tcW w:w="0" w:type="auto"/>
            <w:shd w:val="clear" w:fill="E8F0EC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b/>
                <w:color w:val="1A1A2E"/>
                <w:sz w:val="20"/>
              </w:rPr>
              <w:t>核心功能</w:t>
            </w:r>
          </w:p>
        </w:tc>
        <w:tc>
          <w:tcPr>
            <w:tcW w:w="0" w:type="auto"/>
            <w:shd w:val="clear" w:fill="E8F0EC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b/>
                <w:color w:val="1A1A2E"/>
                <w:sz w:val="20"/>
              </w:rPr>
              <w:t>适用场景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定价计算器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正向计算期权价格及全部希腊字母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快速定价、希腊字母监控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反向推算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通过部分已知信息反推未知参数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市场校准、数据验证、套利检测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敏感性分析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Taylor 展开 P&amp;L 分解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风险管理、策略损益预估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时间衰减研究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五阶段衰减模型可视化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择时策略、卖方甜点区选择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希腊字母图谱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动态曲线展示 S 变化规律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理解 Greeks 行为、教学演示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理论指南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BSM 公式与联动关系汇总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理论学习、知识查阅</w:t>
            </w:r>
          </w:p>
        </w:tc>
      </w:tr>
    </w:tbl>
    <w:p>
      <w:pPr>
        <w:pStyle w:val="Heading1"/>
      </w:pPr>
      <w:r>
        <w:t>二、定价计算器</w:t>
      </w:r>
      <w:bookmarkStart w:name="_Toc002" w:id="3"/>
      <w:bookmarkEnd w:id="3"/>
    </w:p>
    <w:p>
      <w:r>
        <w:t>定价计算器是引擎的基石模块，输入四个核心参数即可输出期权的理论价格（权利金）及全套希腊字母。</w:t>
      </w:r>
    </w:p>
    <w:p>
      <w:pPr>
        <w:pStyle w:val="Heading2"/>
      </w:pPr>
      <w:r>
        <w:t>2.1 输入参数</w:t>
      </w:r>
    </w:p>
    <w:p>
      <w:r>
        <w:t>每个参数的含义及常见取值：</w:t>
      </w:r>
    </w:p>
    <w:tbl>
      <w:tblPr>
        <w:tblW w:w="5000" w:type="pct"/>
        <w:tblBorders>
          <w:top w:val="single" w:color="2E5C4E" w:sz="12"/>
          <w:bottom w:val="single" w:color="2E5C4E" w:sz="12"/>
          <w:insideH w:val="single" w:color="C8D4CE" w:sz="4"/>
        </w:tblBorders>
      </w:tblPr>
      <w:tblGrid>
        <w:gridCol w:w="1500"/>
        <w:gridCol w:w="3500"/>
        <w:gridCol w:w="2000"/>
        <w:gridCol w:w="2000"/>
      </w:tblGrid>
      <w:tr>
        <w:trPr>
          <w:tblHeader/>
        </w:trPr>
        <w:tc>
          <w:tcPr>
            <w:tcW w:w="0" w:type="auto"/>
            <w:shd w:val="clear" w:fill="E8F0EC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b/>
                <w:color w:val="1A1A2E"/>
                <w:sz w:val="20"/>
              </w:rPr>
              <w:t>参数</w:t>
            </w:r>
          </w:p>
        </w:tc>
        <w:tc>
          <w:tcPr>
            <w:tcW w:w="0" w:type="auto"/>
            <w:shd w:val="clear" w:fill="E8F0EC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b/>
                <w:color w:val="1A1A2E"/>
                <w:sz w:val="20"/>
              </w:rPr>
              <w:t>含义</w:t>
            </w:r>
          </w:p>
        </w:tc>
        <w:tc>
          <w:tcPr>
            <w:tcW w:w="0" w:type="auto"/>
            <w:shd w:val="clear" w:fill="E8F0EC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b/>
                <w:color w:val="1A1A2E"/>
                <w:sz w:val="20"/>
              </w:rPr>
              <w:t>常见取值</w:t>
            </w:r>
          </w:p>
        </w:tc>
        <w:tc>
          <w:tcPr>
            <w:tcW w:w="0" w:type="auto"/>
            <w:shd w:val="clear" w:fill="E8F0EC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b/>
                <w:color w:val="1A1A2E"/>
                <w:sz w:val="20"/>
              </w:rPr>
              <w:t>备注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S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标的资产价格（期货/现货）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100、3000、50000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期权挂钩标的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K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行权价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通常接近 S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合约约定价格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T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剩余期限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91天 / 0.25年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支持天/年切换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σ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年化波动率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20%（低波）、40%（高波）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唯一需估计的参数</w:t>
            </w:r>
          </w:p>
        </w:tc>
      </w:tr>
    </w:tbl>
    <w:p>
      <w:pPr>
        <w:pStyle w:val="Heading2"/>
      </w:pPr>
      <w:r>
        <w:t>2.2 使用方法</w:t>
      </w:r>
    </w:p>
    <w:p>
      <w:pPr>
        <w:ind w:left="720" w:hanging="360" w:firstLine="0"/>
      </w:pPr>
      <w:r>
        <w:rPr>
          <w:b/>
          <w:color w:val="D4A843"/>
        </w:rPr>
        <w:t>1. </w:t>
      </w:r>
      <w:r>
        <w:t>在顶部选择期权类型（Call 看涨 / Put 看跌）</w:t>
      </w:r>
    </w:p>
    <w:p>
      <w:pPr>
        <w:ind w:left="720" w:hanging="360" w:firstLine="0"/>
      </w:pPr>
      <w:r>
        <w:rPr>
          <w:b/>
          <w:color w:val="D4A843"/>
        </w:rPr>
        <w:t>2. </w:t>
      </w:r>
      <w:r>
        <w:t>输入或修改四个参数，页面实时自动计算</w:t>
      </w:r>
    </w:p>
    <w:p>
      <w:pPr>
        <w:ind w:left="720" w:hanging="360" w:firstLine="0"/>
      </w:pPr>
      <w:r>
        <w:rPr>
          <w:b/>
          <w:color w:val="D4A843"/>
        </w:rPr>
        <w:t>3. </w:t>
      </w:r>
      <w:r>
        <w:t>查看右侧希腊字母仪表盘（Delta、Gamma、Theta、Vega、Rho）</w:t>
      </w:r>
    </w:p>
    <w:p>
      <w:pPr>
        <w:ind w:left="720" w:hanging="360" w:firstLine="0"/>
      </w:pPr>
      <w:r>
        <w:rPr>
          <w:b/>
          <w:color w:val="D4A843"/>
        </w:rPr>
        <w:t>4. </w:t>
      </w:r>
      <w:r>
        <w:t>点击"展开详情"查看高阶希腊字母：Vanna、Vomma、Charm、Speed、Zomma、Color</w:t>
      </w:r>
    </w:p>
    <w:p>
      <w:pPr>
        <w:ind w:left="720" w:hanging="360" w:firstLine="0"/>
      </w:pPr>
      <w:r>
        <w:rPr>
          <w:b/>
          <w:color w:val="D4A843"/>
        </w:rPr>
        <w:t>5. </w:t>
      </w:r>
      <w:r>
        <w:t>利用下方多期限对比表观察同一合约在不同到期时间下的 Greeks 变化</w:t>
      </w:r>
    </w:p>
    <w:p>
      <w:pPr>
        <w:pStyle w:val="Heading2"/>
      </w:pPr>
      <w:r>
        <w:t>2.3 快捷预设</w:t>
      </w:r>
    </w:p>
    <w:p>
      <w:r>
        <w:t>顶部提供五个快捷预设按钮，一键填充参数：</w:t>
      </w:r>
    </w:p>
    <w:p>
      <w:pPr>
        <w:ind w:left="720" w:hanging="360" w:firstLine="0"/>
      </w:pPr>
      <w:r>
        <w:t>• ATM Call：平价看涨（S=K=100），最常用基准</w:t>
      </w:r>
    </w:p>
    <w:p>
      <w:pPr>
        <w:ind w:left="720" w:hanging="360" w:firstLine="0"/>
      </w:pPr>
      <w:r>
        <w:t>• ITM Call：价内看涨（S=110 &gt; K=100）</w:t>
      </w:r>
    </w:p>
    <w:p>
      <w:pPr>
        <w:ind w:left="720" w:hanging="360" w:firstLine="0"/>
      </w:pPr>
      <w:r>
        <w:t>• OTM Call：价外看涨（S=90 &lt; K=100）</w:t>
      </w:r>
    </w:p>
    <w:p>
      <w:pPr>
        <w:ind w:left="720" w:hanging="360" w:firstLine="0"/>
      </w:pPr>
      <w:r>
        <w:t>• ATM Put / ITM Put：对应看跌期权</w:t>
      </w:r>
    </w:p>
    <w:p>
      <w:pPr>
        <w:pStyle w:val="Heading2"/>
      </w:pPr>
      <w:r>
        <w:t>2.4 T 单位切换</w:t>
      </w:r>
    </w:p>
    <w:p>
      <w:r>
        <w:t>剩余期限输入框右侧提供"天/年"切换按钮：</w:t>
      </w:r>
    </w:p>
    <w:p>
      <w:pPr>
        <w:ind w:left="720" w:hanging="360" w:firstLine="0"/>
      </w:pPr>
      <w:r>
        <w:t>• 选择"天"：输入 91 → 内部计算 T = 91/365 = 0.2493 年</w:t>
      </w:r>
    </w:p>
    <w:p>
      <w:pPr>
        <w:ind w:left="720" w:hanging="360" w:firstLine="0"/>
      </w:pPr>
      <w:r>
        <w:t>• 选择"年"：输入 0.25 → 内部计算 T = 0.25 年 = 91.25 天</w:t>
      </w:r>
    </w:p>
    <w:p>
      <w:pPr>
        <w:ind w:left="720" w:hanging="360" w:firstLine="0"/>
      </w:pPr>
      <w:r>
        <w:t>• 切换单位时数值自动换算，下方显示换算提示</w:t>
      </w:r>
    </w:p>
    <w:p>
      <w:pPr>
        <w:pStyle w:val="Heading1"/>
      </w:pPr>
      <w:r>
        <w:t>三、反向推算引擎</w:t>
      </w:r>
      <w:bookmarkStart w:name="_Toc003" w:id="4"/>
      <w:bookmarkEnd w:id="4"/>
    </w:p>
    <w:p>
      <w:r>
        <w:t>反向推算引擎是引擎的核心差异化能力。在真实交易中，交易员往往只知道部分信息（如市场价格、希腊字母），需要反推未知的底层参数。引擎提供四种反向推算模式。</w:t>
      </w:r>
    </w:p>
    <w:p>
      <w:pPr>
        <w:pStyle w:val="Heading2"/>
      </w:pPr>
      <w:r>
        <w:t>3.1 模式一：S + 希腊字母 → 权利金</w:t>
      </w:r>
    </w:p>
    <w:p>
      <w:r>
        <w:t>适用场景：已知期货价格 S 和 Greek 值，求期权价格。</w:t>
      </w:r>
    </w:p>
    <w:p>
      <w:r>
        <w:t>关键行为：</w:t>
      </w:r>
    </w:p>
    <w:p>
      <w:pPr>
        <w:ind w:left="720" w:hanging="360" w:firstLine="0"/>
      </w:pPr>
      <w:r>
        <w:t>• 未勾选 Theta：T 使用合约参数中的固定值，仅反推波动率 σ</w:t>
      </w:r>
    </w:p>
    <w:p>
      <w:pPr>
        <w:ind w:left="720" w:hanging="360" w:firstLine="0"/>
      </w:pPr>
      <w:r>
        <w:t>• 勾选 Theta：启动联合优化，同时反推 σ 和剩余期限 T</w:t>
      </w:r>
    </w:p>
    <w:p>
      <w:r>
        <w:t>使用步骤：</w:t>
      </w:r>
    </w:p>
    <w:p>
      <w:pPr>
        <w:ind w:left="720" w:hanging="360" w:firstLine="0"/>
      </w:pPr>
      <w:r>
        <w:rPr>
          <w:b/>
          <w:color w:val="D4A843"/>
        </w:rPr>
        <w:t>1. </w:t>
      </w:r>
      <w:r>
        <w:t>输入期货价格 S（如 100）</w:t>
      </w:r>
    </w:p>
    <w:p>
      <w:pPr>
        <w:ind w:left="720" w:hanging="360" w:firstLine="0"/>
      </w:pPr>
      <w:r>
        <w:rPr>
          <w:b/>
          <w:color w:val="D4A843"/>
        </w:rPr>
        <w:t>2. </w:t>
      </w:r>
      <w:r>
        <w:t>勾选至少一个希腊字母开关（建议 Delta）</w:t>
      </w:r>
    </w:p>
    <w:p>
      <w:pPr>
        <w:ind w:left="720" w:hanging="360" w:firstLine="0"/>
      </w:pPr>
      <w:r>
        <w:rPr>
          <w:b/>
          <w:color w:val="D4A843"/>
        </w:rPr>
        <w:t>3. </w:t>
      </w:r>
      <w:r>
        <w:t>如需利用时间衰减信息，勾选 Theta 并输入目标值</w:t>
      </w:r>
    </w:p>
    <w:p>
      <w:pPr>
        <w:ind w:left="720" w:hanging="360" w:firstLine="0"/>
      </w:pPr>
      <w:r>
        <w:rPr>
          <w:b/>
          <w:color w:val="D4A843"/>
        </w:rPr>
        <w:t>4. </w:t>
      </w:r>
      <w:r>
        <w:t>Theta 单位可切换"天"或"年"——引擎根据选中单位自动处理换算</w:t>
      </w:r>
    </w:p>
    <w:p>
      <w:pPr>
        <w:ind w:left="720" w:hanging="360" w:firstLine="0"/>
      </w:pPr>
      <w:r>
        <w:rPr>
          <w:b/>
          <w:color w:val="D4A843"/>
        </w:rPr>
        <w:t>5. </w:t>
      </w:r>
      <w:r>
        <w:t>查看推算结果：权利金、σ、T、各希腊字母残差</w:t>
      </w:r>
    </w:p>
    <w:p>
      <w:r>
        <w:t>残差解读：</w:t>
      </w:r>
    </w:p>
    <w:p>
      <w:pPr>
        <w:ind w:left="720" w:hanging="360" w:firstLine="0"/>
      </w:pPr>
      <w:r>
        <w:t>• 误差 &lt; 1%（绿色）：输入数据高度自洽</w:t>
      </w:r>
    </w:p>
    <w:p>
      <w:pPr>
        <w:ind w:left="720" w:hanging="360" w:firstLine="0"/>
      </w:pPr>
      <w:r>
        <w:t>• 误差 1%-5%（黄色）：基本合理</w:t>
      </w:r>
    </w:p>
    <w:p>
      <w:pPr>
        <w:ind w:left="720" w:hanging="360" w:firstLine="0"/>
      </w:pPr>
      <w:r>
        <w:t>• 误差 &gt; 5%（红色）：输入数据可能矛盾，提示套利机会或测量误差</w:t>
      </w:r>
    </w:p>
    <w:p>
      <w:pPr>
        <w:pStyle w:val="Heading2"/>
      </w:pPr>
      <w:r>
        <w:t>3.2 模式二：权利金 + 希腊字母 → 期货价 S</w:t>
      </w:r>
    </w:p>
    <w:p>
      <w:r>
        <w:t>适用场景：已知期权市场价格（权利金）和希腊字母，反推标的资产的期货价格。</w:t>
      </w:r>
    </w:p>
    <w:p>
      <w:r>
        <w:t>引擎同时搜索 S、σ、T 三个变量（当 Theta 被勾选时）。通过三级网格搜索（粗搜→细搜→精修）找到最优解。</w:t>
      </w:r>
    </w:p>
    <w:p>
      <w:r>
        <w:t>典型应用：场外期权（OTC）做市商需要验证对手方报价的 S 是否合理；套利交易者发现同一标的不同报价时判断哪边有误。</w:t>
      </w:r>
    </w:p>
    <w:p>
      <w:pPr>
        <w:pStyle w:val="Heading2"/>
      </w:pPr>
      <w:r>
        <w:t>3.3 模式三：权利金 + S → 波动率 σ</w:t>
      </w:r>
    </w:p>
    <w:p>
      <w:r>
        <w:t>适用场景：已知期权价格和期货价格，求隐含波动率 IV。这是期权交易中最常用的计算——看市场给期权定的"波动率溢价"是多少。</w:t>
      </w:r>
    </w:p>
    <w:p>
      <w:r>
        <w:t>引擎使用 Newton-Raphson 迭代法，通常 3-5 次迭代即可达到机器精度。结果直接显示 σ 的百分比形式（如 20.00%）。</w:t>
      </w:r>
    </w:p>
    <w:p>
      <w:pPr>
        <w:pStyle w:val="Heading2"/>
      </w:pPr>
      <w:r>
        <w:t>3.4 模式四：S + σ + 希腊字母 → 剩余期限 T</w:t>
      </w:r>
    </w:p>
    <w:p>
      <w:r>
        <w:t>适用场景：已知期货价格 S、波动率 σ，通过希腊字母反推剩余期限。</w:t>
      </w:r>
    </w:p>
    <w:p>
      <w:r>
        <w:t>典型场景：场外期权不知道到期日，只知道 Greeks；验证市场上报的希腊字母是否自洽。</w:t>
      </w:r>
    </w:p>
    <w:p>
      <w:r>
        <w:t>数学原理：Delta = N(d₁) → d₁ = N⁻¹(Δ) → 由 d₁(T) = [ln(S/K) + 0.5σ²T]/(σ√T) 对 T 进行二分搜索求解。</w:t>
      </w:r>
    </w:p>
    <w:p>
      <w:pPr>
        <w:pStyle w:val="Heading1"/>
      </w:pPr>
      <w:r>
        <w:t>四、敏感性分析</w:t>
      </w:r>
      <w:bookmarkStart w:name="_Toc004" w:id="5"/>
      <w:bookmarkEnd w:id="5"/>
    </w:p>
    <w:p>
      <w:r>
        <w:t>基于 Taylor 展开，估算当标的价格、时间、波动率、利率发生变化时，期权价格的近似变化值。对比一阶近似、二阶近似和完整近似的精度差异。</w:t>
      </w:r>
    </w:p>
    <w:p>
      <w:pPr>
        <w:pStyle w:val="Heading2"/>
      </w:pPr>
      <w:r>
        <w:t>4.1 基准状态参数</w:t>
      </w:r>
    </w:p>
    <w:p>
      <w:r>
        <w:t>与定价计算器一致：S、K、T、σ、期权类型。T 同样支持天/年单位切换。</w:t>
      </w:r>
    </w:p>
    <w:p>
      <w:pPr>
        <w:pStyle w:val="Heading2"/>
      </w:pPr>
      <w:r>
        <w:t>4.2 市场变动冲击参数</w:t>
      </w:r>
    </w:p>
    <w:tbl>
      <w:tblPr>
        <w:tblW w:w="5000" w:type="pct"/>
        <w:tblBorders>
          <w:top w:val="single" w:color="2E5C4E" w:sz="12"/>
          <w:bottom w:val="single" w:color="2E5C4E" w:sz="12"/>
          <w:insideH w:val="single" w:color="C8D4CE" w:sz="4"/>
        </w:tblBorders>
      </w:tblPr>
      <w:tblGrid>
        <w:gridCol w:w="2000"/>
        <w:gridCol w:w="3000"/>
        <w:gridCol w:w="2000"/>
        <w:gridCol w:w="2000"/>
      </w:tblGrid>
      <w:tr>
        <w:trPr>
          <w:tblHeader/>
        </w:trPr>
        <w:tc>
          <w:tcPr>
            <w:tcW w:w="0" w:type="auto"/>
            <w:shd w:val="clear" w:fill="E8F0EC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b/>
                <w:color w:val="1A1A2E"/>
                <w:sz w:val="20"/>
              </w:rPr>
              <w:t>参数</w:t>
            </w:r>
          </w:p>
        </w:tc>
        <w:tc>
          <w:tcPr>
            <w:tcW w:w="0" w:type="auto"/>
            <w:shd w:val="clear" w:fill="E8F0EC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b/>
                <w:color w:val="1A1A2E"/>
                <w:sz w:val="20"/>
              </w:rPr>
              <w:t>含义</w:t>
            </w:r>
          </w:p>
        </w:tc>
        <w:tc>
          <w:tcPr>
            <w:tcW w:w="0" w:type="auto"/>
            <w:shd w:val="clear" w:fill="E8F0EC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b/>
                <w:color w:val="1A1A2E"/>
                <w:sz w:val="20"/>
              </w:rPr>
              <w:t>示例</w:t>
            </w:r>
          </w:p>
        </w:tc>
        <w:tc>
          <w:tcPr>
            <w:tcW w:w="0" w:type="auto"/>
            <w:shd w:val="clear" w:fill="E8F0EC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b/>
                <w:color w:val="1A1A2E"/>
                <w:sz w:val="20"/>
              </w:rPr>
              <w:t>单位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ΔS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标的价格变动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5（涨5点）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货币单位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dt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时间流逝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1（流逝1天）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天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Δσ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波动率变动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0.02（涨2%）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小数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Δr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利率变动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0.0025（涨0.25%）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小数</w:t>
            </w:r>
          </w:p>
        </w:tc>
      </w:tr>
    </w:tbl>
    <w:p>
      <w:pPr>
        <w:pStyle w:val="Heading2"/>
      </w:pPr>
      <w:r>
        <w:t>4.3 三种近似对比</w:t>
      </w:r>
    </w:p>
    <w:p>
      <w:pPr>
        <w:ind w:left="720" w:hanging="360" w:firstLine="0"/>
      </w:pPr>
      <w:r>
        <w:t>• 一阶近似：仅考虑 Delta（线性近似），适合小幅变动</w:t>
      </w:r>
    </w:p>
    <w:p>
      <w:pPr>
        <w:ind w:left="720" w:hanging="360" w:firstLine="0"/>
      </w:pPr>
      <w:r>
        <w:t>• 二阶近似：加入 Gamma 凸性修正，适合 ±3% 标的价格变动</w:t>
      </w:r>
    </w:p>
    <w:p>
      <w:pPr>
        <w:ind w:left="720" w:hanging="360" w:firstLine="0"/>
      </w:pPr>
      <w:r>
        <w:t>• 完整近似：加入 Vanna 交叉项 + Vomma 波动率凸性，适合波动率剧变场景</w:t>
      </w:r>
    </w:p>
    <w:p>
      <w:pPr>
        <w:pStyle w:val="Heading2"/>
      </w:pPr>
      <w:r>
        <w:t>4.4 P&amp;L 分解</w:t>
      </w:r>
    </w:p>
    <w:p>
      <w:r>
        <w:t>下方展示每个 Greek 对价格变化的独立贡献：</w:t>
      </w:r>
    </w:p>
    <w:p>
      <w:pPr>
        <w:ind w:left="720" w:hanging="360" w:firstLine="0"/>
      </w:pPr>
      <w:r>
        <w:t>• Delta 贡献：方向性盈亏</w:t>
      </w:r>
    </w:p>
    <w:p>
      <w:pPr>
        <w:ind w:left="720" w:hanging="360" w:firstLine="0"/>
      </w:pPr>
      <w:r>
        <w:t>• Gamma 贡献：凸性收益（总是正贡献）</w:t>
      </w:r>
    </w:p>
    <w:p>
      <w:pPr>
        <w:ind w:left="720" w:hanging="360" w:firstLine="0"/>
      </w:pPr>
      <w:r>
        <w:t>• Theta 贡献：时间流逝成本</w:t>
      </w:r>
    </w:p>
    <w:p>
      <w:pPr>
        <w:ind w:left="720" w:hanging="360" w:firstLine="0"/>
      </w:pPr>
      <w:r>
        <w:t>• Vega 贡献：波动率变动盈亏</w:t>
      </w:r>
    </w:p>
    <w:p>
      <w:pPr>
        <w:ind w:left="720" w:hanging="360" w:firstLine="0"/>
      </w:pPr>
      <w:r>
        <w:t>• Vanna/Vomma：交叉项和波动率二阶项</w:t>
      </w:r>
    </w:p>
    <w:p>
      <w:pPr>
        <w:pStyle w:val="Heading1"/>
      </w:pPr>
      <w:r>
        <w:t>五、时间衰减研究</w:t>
      </w:r>
      <w:bookmarkStart w:name="_Toc005" w:id="6"/>
      <w:bookmarkEnd w:id="6"/>
    </w:p>
    <w:p>
      <w:r>
        <w:t>系统展示期权时间价值随剩余期限的衰减规律，揭示 Theta 的非线性加速特征。基于简化 BSM 框架生成动态可视化曲线。</w:t>
      </w:r>
    </w:p>
    <w:p>
      <w:pPr>
        <w:pStyle w:val="Heading2"/>
      </w:pPr>
      <w:r>
        <w:t>5.1 五阶段衰减模型</w:t>
      </w:r>
    </w:p>
    <w:tbl>
      <w:tblPr>
        <w:tblW w:w="5000" w:type="pct"/>
        <w:tblBorders>
          <w:top w:val="single" w:color="2E5C4E" w:sz="12"/>
          <w:bottom w:val="single" w:color="2E5C4E" w:sz="12"/>
          <w:insideH w:val="single" w:color="C8D4CE" w:sz="4"/>
        </w:tblBorders>
      </w:tblPr>
      <w:tblGrid>
        <w:gridCol w:w="1500"/>
        <w:gridCol w:w="1500"/>
        <w:gridCol w:w="2000"/>
        <w:gridCol w:w="4000"/>
      </w:tblGrid>
      <w:tr>
        <w:trPr>
          <w:tblHeader/>
        </w:trPr>
        <w:tc>
          <w:tcPr>
            <w:tcW w:w="0" w:type="auto"/>
            <w:shd w:val="clear" w:fill="E8F0EC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b/>
                <w:color w:val="1A1A2E"/>
                <w:sz w:val="20"/>
              </w:rPr>
              <w:t>阶段</w:t>
            </w:r>
          </w:p>
        </w:tc>
        <w:tc>
          <w:tcPr>
            <w:tcW w:w="0" w:type="auto"/>
            <w:shd w:val="clear" w:fill="E8F0EC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b/>
                <w:color w:val="1A1A2E"/>
                <w:sz w:val="20"/>
              </w:rPr>
              <w:t>DTE</w:t>
            </w:r>
          </w:p>
        </w:tc>
        <w:tc>
          <w:tcPr>
            <w:tcW w:w="0" w:type="auto"/>
            <w:shd w:val="clear" w:fill="E8F0EC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b/>
                <w:color w:val="1A1A2E"/>
                <w:sz w:val="20"/>
              </w:rPr>
              <w:t>日衰减占比</w:t>
            </w:r>
          </w:p>
        </w:tc>
        <w:tc>
          <w:tcPr>
            <w:tcW w:w="0" w:type="auto"/>
            <w:shd w:val="clear" w:fill="E8F0EC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b/>
                <w:color w:val="1A1A2E"/>
                <w:sz w:val="20"/>
              </w:rPr>
              <w:t>交易含义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平坦区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60-180天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0.3-1%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时间成本低，适合买方建仓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甜点区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30-45天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1-2%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卖方首选，Theta/Gamma 比率最佳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加速区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14-30天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2-4%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30天贡献约50%总衰减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高速区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7-14天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4-8%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高收益高风险的短期博弈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二元区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0-7天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8-50%+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最后3天可单日蒸发17%+</w:t>
            </w:r>
          </w:p>
        </w:tc>
      </w:tr>
    </w:tbl>
    <w:p>
      <w:pPr>
        <w:pStyle w:val="Heading2"/>
      </w:pPr>
      <w:r>
        <w:t>5.2 核心洞察</w:t>
      </w:r>
    </w:p>
    <w:p>
      <w:r>
        <w:t>平方根时间法则：时间价值 ∝ σ·S·√T·N'(d₁)。关键洞察：时间价值与 √T 成正比（不是线性关系）。将 DTE 从 120 天压缩到 30 天（减少75%），时间价值仅减少约50%，而非75%。</w:t>
      </w:r>
    </w:p>
    <w:p>
      <w:r>
        <w:t>Theta 与 Gamma 的精确耦合（r=0 简化版）：Θ = -½σ²S²Γ。正 Gamma（凸性收益）的代价是负 Theta（时间衰减）。临近到期时 Gamma 按 1/√T 发散，Theta 同比例加速。</w:t>
      </w:r>
    </w:p>
    <w:p>
      <w:pPr>
        <w:pStyle w:val="Heading2"/>
      </w:pPr>
      <w:r>
        <w:t>5.3 三张可视化图表</w:t>
      </w:r>
    </w:p>
    <w:p>
      <w:pPr>
        <w:ind w:left="720" w:hanging="360" w:firstLine="0"/>
      </w:pPr>
      <w:r>
        <w:t>• 时间价值衰减曲线：展示时间价值随 DTE 下降的凸性轨迹</w:t>
      </w:r>
    </w:p>
    <w:p>
      <w:pPr>
        <w:ind w:left="720" w:hanging="360" w:firstLine="0"/>
      </w:pPr>
      <w:r>
        <w:t>• Theta 加速曲线：展示每日衰减占剩余权利金的百分比（加速趋势）</w:t>
      </w:r>
    </w:p>
    <w:p>
      <w:pPr>
        <w:ind w:left="720" w:hanging="360" w:firstLine="0"/>
      </w:pPr>
      <w:r>
        <w:t>• 联合图谱：Delta、Gamma、Vega 随 DTE 的变化</w:t>
      </w:r>
    </w:p>
    <w:p>
      <w:pPr>
        <w:pStyle w:val="Heading1"/>
      </w:pPr>
      <w:r>
        <w:t>六、希腊字母图谱</w:t>
      </w:r>
      <w:bookmarkStart w:name="_Toc006" w:id="7"/>
      <w:bookmarkEnd w:id="7"/>
    </w:p>
    <w:p>
      <w:r>
        <w:t>动态可视化期权价格和各希腊字母随标的价格 S 变化的完整曲线。六张图谱覆盖价格分解、Delta 曲线、Gamma 曲线、Theta 曲线、Vega 曲线和联合对比。</w:t>
      </w:r>
    </w:p>
    <w:p>
      <w:pPr>
        <w:pStyle w:val="Heading2"/>
      </w:pPr>
      <w:r>
        <w:t>6.1 观察要点</w:t>
      </w:r>
    </w:p>
    <w:p>
      <w:pPr>
        <w:ind w:left="720" w:hanging="360" w:firstLine="0"/>
      </w:pPr>
      <w:r>
        <w:t>• 价格分解：权利金 = 内在价值 + 时间价值</w:t>
      </w:r>
    </w:p>
    <w:p>
      <w:pPr>
        <w:ind w:left="720" w:hanging="360" w:firstLine="0"/>
      </w:pPr>
      <w:r>
        <w:t>• Delta 曲线：S 型曲线，ATM≈0.5，ITM→1，OTM→0</w:t>
      </w:r>
    </w:p>
    <w:p>
      <w:pPr>
        <w:ind w:left="720" w:hanging="360" w:firstLine="0"/>
      </w:pPr>
      <w:r>
        <w:t>• Gamma 曲线：钟形分布，ATM 峰值，临近到期更尖锐</w:t>
      </w:r>
    </w:p>
    <w:p>
      <w:pPr>
        <w:ind w:left="720" w:hanging="360" w:firstLine="0"/>
      </w:pPr>
      <w:r>
        <w:t>• Theta 曲线：ATM 处最大负值，深度 ITM/OTM 趋缓</w:t>
      </w:r>
    </w:p>
    <w:p>
      <w:pPr>
        <w:ind w:left="720" w:hanging="360" w:firstLine="0"/>
      </w:pPr>
      <w:r>
        <w:t>• Vega 曲线：ATM 最大，与 √T 成正比</w:t>
      </w:r>
    </w:p>
    <w:p>
      <w:pPr>
        <w:ind w:left="720" w:hanging="360" w:firstLine="0"/>
      </w:pPr>
      <w:r>
        <w:t>• 联合对比：Delta 与 Gamma 同时展示，观察微分-积分关系</w:t>
      </w:r>
    </w:p>
    <w:p>
      <w:pPr>
        <w:pStyle w:val="Heading1"/>
      </w:pPr>
      <w:r>
        <w:t>七、理论指南</w:t>
      </w:r>
      <w:bookmarkStart w:name="_Toc007" w:id="8"/>
      <w:bookmarkEnd w:id="8"/>
    </w:p>
    <w:p>
      <w:r>
        <w:t>系统汇总 BSM 模型的核心理论知识，包括公式推导、希腊字母详解、价态对照表、核心联动关系。</w:t>
      </w:r>
    </w:p>
    <w:p>
      <w:pPr>
        <w:pStyle w:val="Heading2"/>
      </w:pPr>
      <w:r>
        <w:t>7.1 核心联动关系</w:t>
      </w:r>
    </w:p>
    <w:p>
      <w:pPr>
        <w:ind w:left="720" w:hanging="360" w:firstLine="0"/>
      </w:pPr>
      <w:r>
        <w:t>• Gamma-Theta 权衡：Θ = -½σ²S²Γ —— 正 Gamma 的代价是负 Theta</w:t>
      </w:r>
    </w:p>
    <w:p>
      <w:pPr>
        <w:ind w:left="720" w:hanging="360" w:firstLine="0"/>
      </w:pPr>
      <w:r>
        <w:t>• Put-Call Parity（简化版 r=0）：C - P = S - K</w:t>
      </w:r>
    </w:p>
    <w:p>
      <w:pPr>
        <w:ind w:left="720" w:hanging="360" w:firstLine="0"/>
      </w:pPr>
      <w:r>
        <w:t>• Taylor P&amp;L 展开式：dV ≈ Δ·dS + ½Γ·(dS)² + Θ·dt + ν·dσ + Vanna·dS·dσ</w:t>
      </w:r>
    </w:p>
    <w:p>
      <w:pPr>
        <w:ind w:left="720" w:hanging="360" w:firstLine="0"/>
      </w:pPr>
      <w:r>
        <w:t>• ATM 风暴眼：Gamma↑ Theta↑ Vega↑ 同时极值，深度 ITM/OTM 的希腊字母趋于钝化</w:t>
      </w:r>
    </w:p>
    <w:p>
      <w:pPr>
        <w:pStyle w:val="Heading2"/>
      </w:pPr>
      <w:r>
        <w:t>7.2 价态对照表</w:t>
      </w:r>
    </w:p>
    <w:p>
      <w:r>
        <w:t>ITM（价内）、ATM（平价）、OTM（价外）各状态下 Delta、Gamma、Theta、Vega 的行为差异详见网页版"理论指南"模块。</w:t>
      </w:r>
    </w:p>
    <w:p>
      <w:pPr>
        <w:pStyle w:val="Heading1"/>
      </w:pPr>
      <w:r>
        <w:t>八、参数含义速查表</w:t>
      </w:r>
      <w:bookmarkStart w:name="_Toc008" w:id="9"/>
      <w:bookmarkEnd w:id="9"/>
    </w:p>
    <w:tbl>
      <w:tblPr>
        <w:tblW w:w="5000" w:type="pct"/>
        <w:tblBorders>
          <w:top w:val="single" w:color="2E5C4E" w:sz="12"/>
          <w:bottom w:val="single" w:color="2E5C4E" w:sz="12"/>
          <w:insideH w:val="single" w:color="C8D4CE" w:sz="4"/>
        </w:tblBorders>
      </w:tblPr>
      <w:tblGrid>
        <w:gridCol w:w="1200"/>
        <w:gridCol w:w="2500"/>
        <w:gridCol w:w="2500"/>
        <w:gridCol w:w="2800"/>
      </w:tblGrid>
      <w:tr>
        <w:trPr>
          <w:tblHeader/>
        </w:trPr>
        <w:tc>
          <w:tcPr>
            <w:tcW w:w="0" w:type="auto"/>
            <w:shd w:val="clear" w:fill="E8F0EC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b/>
                <w:color w:val="1A1A2E"/>
                <w:sz w:val="20"/>
              </w:rPr>
              <w:t>参数</w:t>
            </w:r>
          </w:p>
        </w:tc>
        <w:tc>
          <w:tcPr>
            <w:tcW w:w="0" w:type="auto"/>
            <w:shd w:val="clear" w:fill="E8F0EC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b/>
                <w:color w:val="1A1A2E"/>
                <w:sz w:val="20"/>
              </w:rPr>
              <w:t>全称</w:t>
            </w:r>
          </w:p>
        </w:tc>
        <w:tc>
          <w:tcPr>
            <w:tcW w:w="0" w:type="auto"/>
            <w:shd w:val="clear" w:fill="E8F0EC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b/>
                <w:color w:val="1A1A2E"/>
                <w:sz w:val="20"/>
              </w:rPr>
              <w:t>含义</w:t>
            </w:r>
          </w:p>
        </w:tc>
        <w:tc>
          <w:tcPr>
            <w:tcW w:w="0" w:type="auto"/>
            <w:shd w:val="clear" w:fill="E8F0EC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b/>
                <w:color w:val="1A1A2E"/>
                <w:sz w:val="20"/>
              </w:rPr>
              <w:t>单位/范围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S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Spot Price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标的资产价格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货币单位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K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Strike Price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行权价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货币单位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T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Time to Expiry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剩余期限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年（或天）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σ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Volatility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年化波动率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小数（如 0.20 = 20%）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Δ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Delta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方向敏感度 / 对冲比率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Call: [0,1], Put: [-1,0]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Γ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Gamma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凸性风险 / Delta 变化率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恒为正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Θ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Theta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时间衰减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年化 / 每日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ν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Vega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波动率敏感度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每 1% vol 变动</w:t>
            </w:r>
          </w:p>
        </w:tc>
      </w:tr>
      <w:tr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ρ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Rho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利率敏感度</w:t>
            </w:r>
          </w:p>
        </w:tc>
        <w:tc>
          <w:tcPr>
            <w:tcW w:w="0" w:type="auto"/>
          </w:tcPr>
          <w:p>
            <w:pPr>
              <w:spacing w:before="40" w:after="40"/>
              <w:ind w:firstLine="0"/>
              <w:jc w:val="center"/>
            </w:pPr>
            <w:r>
              <w:rPr>
                <w:rFonts w:ascii="Calibri" w:hAnsi="Calibri" w:eastAsia="Microsoft YaHei"/>
                <w:color w:val="4A4A6A"/>
                <w:sz w:val="20"/>
              </w:rPr>
              <w:t>每 1% rate 变动</w:t>
            </w:r>
          </w:p>
        </w:tc>
      </w:tr>
    </w:tbl>
    <w:p>
      <w:pPr>
        <w:pStyle w:val="Heading1"/>
      </w:pPr>
      <w:r>
        <w:t>九、快速上手示例</w:t>
      </w:r>
      <w:bookmarkStart w:name="_Toc009" w:id="10"/>
      <w:bookmarkEnd w:id="10"/>
    </w:p>
    <w:p>
      <w:pPr>
        <w:pStyle w:val="Heading2"/>
      </w:pPr>
      <w:r>
        <w:t>9.1 新手入门：计算 ATM Call 的权利金</w:t>
      </w:r>
    </w:p>
    <w:p>
      <w:pPr>
        <w:ind w:left="720" w:hanging="360" w:firstLine="0"/>
      </w:pPr>
      <w:r>
        <w:rPr>
          <w:b/>
          <w:color w:val="D4A843"/>
        </w:rPr>
        <w:t>1. </w:t>
      </w:r>
      <w:r>
        <w:t>打开"定价计算器"页面</w:t>
      </w:r>
    </w:p>
    <w:p>
      <w:pPr>
        <w:ind w:left="720" w:hanging="360" w:firstLine="0"/>
      </w:pPr>
      <w:r>
        <w:rPr>
          <w:b/>
          <w:color w:val="D4A843"/>
        </w:rPr>
        <w:t>2. </w:t>
      </w:r>
      <w:r>
        <w:t>点击顶部"ATM Call"快捷预设按钮</w:t>
      </w:r>
    </w:p>
    <w:p>
      <w:pPr>
        <w:ind w:left="720" w:hanging="360" w:firstLine="0"/>
      </w:pPr>
      <w:r>
        <w:rPr>
          <w:b/>
          <w:color w:val="D4A843"/>
        </w:rPr>
        <w:t>3. </w:t>
      </w:r>
      <w:r>
        <w:t>观察参数自动填充：S=100, K=100, T=91天, σ=20%</w:t>
      </w:r>
    </w:p>
    <w:p>
      <w:pPr>
        <w:ind w:left="720" w:hanging="360" w:firstLine="0"/>
      </w:pPr>
      <w:r>
        <w:rPr>
          <w:b/>
          <w:color w:val="D4A843"/>
        </w:rPr>
        <w:t>4. </w:t>
      </w:r>
      <w:r>
        <w:t>查看计算结果：价格≈$4.62, Delta≈0.598</w:t>
      </w:r>
    </w:p>
    <w:p>
      <w:pPr>
        <w:ind w:left="720" w:hanging="360" w:firstLine="0"/>
      </w:pPr>
      <w:r>
        <w:rPr>
          <w:b/>
          <w:color w:val="D4A843"/>
        </w:rPr>
        <w:t>5. </w:t>
      </w:r>
      <w:r>
        <w:t>切换到"希腊字母图谱"，选择"Delta 曲线"，观察 S=100 处的 Delta 值</w:t>
      </w:r>
    </w:p>
    <w:p>
      <w:pPr>
        <w:pStyle w:val="Heading2"/>
      </w:pPr>
      <w:r>
        <w:t>9.2 进阶操作：用 Theta 反推剩余期限</w:t>
      </w:r>
    </w:p>
    <w:p>
      <w:pPr>
        <w:ind w:left="720" w:hanging="360" w:firstLine="0"/>
      </w:pPr>
      <w:r>
        <w:rPr>
          <w:b/>
          <w:color w:val="D4A843"/>
        </w:rPr>
        <w:t>1. </w:t>
      </w:r>
      <w:r>
        <w:t>打开"反向推算"页面，选择"S + 希腊字母 → 权利金"</w:t>
      </w:r>
    </w:p>
    <w:p>
      <w:pPr>
        <w:ind w:left="720" w:hanging="360" w:firstLine="0"/>
      </w:pPr>
      <w:r>
        <w:rPr>
          <w:b/>
          <w:color w:val="D4A843"/>
        </w:rPr>
        <w:t>2. </w:t>
      </w:r>
      <w:r>
        <w:t>输入 S=100，勾选 Delta 开关并输入 0.598</w:t>
      </w:r>
    </w:p>
    <w:p>
      <w:pPr>
        <w:ind w:left="720" w:hanging="360" w:firstLine="0"/>
      </w:pPr>
      <w:r>
        <w:rPr>
          <w:b/>
          <w:color w:val="D4A843"/>
        </w:rPr>
        <w:t>3. </w:t>
      </w:r>
      <w:r>
        <w:t>勾选 Theta 开关，选择"天"单位，输入 -0.016</w:t>
      </w:r>
    </w:p>
    <w:p>
      <w:pPr>
        <w:ind w:left="720" w:hanging="360" w:firstLine="0"/>
      </w:pPr>
      <w:r>
        <w:rPr>
          <w:b/>
          <w:color w:val="D4A843"/>
        </w:rPr>
        <w:t>4. </w:t>
      </w:r>
      <w:r>
        <w:t>观察引擎显示"T 由 Theta 反推"标签</w:t>
      </w:r>
    </w:p>
    <w:p>
      <w:pPr>
        <w:ind w:left="720" w:hanging="360" w:firstLine="0"/>
      </w:pPr>
      <w:r>
        <w:rPr>
          <w:b/>
          <w:color w:val="D4A843"/>
        </w:rPr>
        <w:t>5. </w:t>
      </w:r>
      <w:r>
        <w:t>查看推算结果：σ≈20%, T≈91天，残差 &lt; 1%</w:t>
      </w:r>
    </w:p>
    <w:p>
      <w:pPr>
        <w:pStyle w:val="Heading2"/>
      </w:pPr>
      <w:r>
        <w:t>9.3 专业应用：多约束联合求解</w:t>
      </w:r>
    </w:p>
    <w:p>
      <w:pPr>
        <w:ind w:left="720" w:hanging="360" w:firstLine="0"/>
      </w:pPr>
      <w:r>
        <w:rPr>
          <w:b/>
          <w:color w:val="D4A843"/>
        </w:rPr>
        <w:t>1. </w:t>
      </w:r>
      <w:r>
        <w:t>在"反向推算"选择"权利金 + 希腊字母 → S"</w:t>
      </w:r>
    </w:p>
    <w:p>
      <w:pPr>
        <w:ind w:left="720" w:hanging="360" w:firstLine="0"/>
      </w:pPr>
      <w:r>
        <w:rPr>
          <w:b/>
          <w:color w:val="D4A843"/>
        </w:rPr>
        <w:t>2. </w:t>
      </w:r>
      <w:r>
        <w:t>输入权利金=4.62，勾选 Delta=0.598 和 Gamma=0.038</w:t>
      </w:r>
    </w:p>
    <w:p>
      <w:pPr>
        <w:ind w:left="720" w:hanging="360" w:firstLine="0"/>
      </w:pPr>
      <w:r>
        <w:rPr>
          <w:b/>
          <w:color w:val="D4A843"/>
        </w:rPr>
        <w:t>3. </w:t>
      </w:r>
      <w:r>
        <w:t>引擎同时搜索 S、σ、T 三个变量</w:t>
      </w:r>
    </w:p>
    <w:p>
      <w:pPr>
        <w:ind w:left="720" w:hanging="360" w:firstLine="0"/>
      </w:pPr>
      <w:r>
        <w:rPr>
          <w:b/>
          <w:color w:val="D4A843"/>
        </w:rPr>
        <w:t>4. </w:t>
      </w:r>
      <w:r>
        <w:t>查看推算结果和残差面板，判断输入数据是否自洽</w:t>
      </w:r>
    </w:p>
    <w:p>
      <w:pPr>
        <w:ind w:left="720" w:hanging="360" w:firstLine="0"/>
      </w:pPr>
      <w:r>
        <w:rPr>
          <w:b/>
          <w:color w:val="D4A843"/>
        </w:rPr>
        <w:t>5. </w:t>
      </w:r>
      <w:r>
        <w:t>如有残差 &gt; 5%，提示数据可能来自不同市场状态或存在套利</w:t>
      </w:r>
    </w:p>
    <w:p>
      <w:pPr>
        <w:sectPr>
          <w:headerReference w:type="default" r:id="Reb5019ca6ece410c"/>
          <w:footerReference w:type="default" r:id="R8df3ca01b10742fa"/>
          <w:pgSz w:w="11906" w:h="16838"/>
          <w:pgMar w:top="1800" w:right="1440" w:bottom="1440" w:left="1440" w:header="720" w:footer="720"/>
        </w:sectPr>
      </w:pPr>
    </w:p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A8AA2"/>
        <w:sz w:val="18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color w:val="8A8AA2"/>
        <w:sz w:val="18"/>
      </w:rPr>
      <w:t xml:space="preserve"> 页 / 共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rPr>
        <w:color w:val="8A8AA2"/>
        <w:sz w:val="18"/>
      </w:rPr>
      <w:t xml:space="preserve"> 页</w:t>
    </w:r>
  </w:p>
</w:ftr>
</file>

<file path=word/header1.xml><?xml version="1.0" encoding="utf-8"?>
<w:hdr xmlns:w="http://schemas.openxmlformats.org/wordprocessingml/2006/main">
  <w:p>
    <w:pPr>
      <w:jc w:val="right"/>
    </w:pPr>
    <w:r>
      <w:rPr>
        <w:rFonts w:ascii="Calibri" w:hAnsi="Calibri" w:eastAsia="Microsoft YaHei"/>
        <w:color w:val="8A8AA2"/>
        <w:sz w:val="18"/>
      </w:rPr>
      <w:t>期权希腊字母定价引擎 — 使用手册</w:t>
    </w:r>
  </w:p>
</w:hdr>
</file>

<file path=word/numbering.xml><?xml version="1.0" encoding="utf-8"?>
<w:numbering xmlns:w="http://schemas.openxmlformats.org/wordprocessingml/2006/main">
  <w:abstractNum w:abstractNumId="1">
    <w:lvl w:ilvl="0">
      <w:numFmt w:val="decimal"/>
      <w:lvlText w:val="%1."/>
      <w:lvlJc w:val="left"/>
      <w:pPr>
        <w:ind w:left="72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displayBackgroundShape/>
  <w:updateFields w:val="true"/>
</w:settings>
</file>

<file path=word/styles.xml><?xml version="1.0" encoding="utf-8"?>
<w:styles xmlns:w="http://schemas.openxmlformats.org/wordprocessingml/2006/main">
  <w:style w:type="paragraph" w:styleId="Normal" w:default="true">
    <w:name w:val="Normal"/>
    <w:pPr>
      <w:spacing w:after="160" w:line="360" w:lineRule="auto"/>
      <w:ind w:firstLine="480"/>
    </w:pPr>
    <w:rPr>
      <w:rFonts w:ascii="Calibri" w:hAnsi="Calibri" w:eastAsia="Microsoft YaHei"/>
      <w:color w:val="1A1A2E"/>
      <w:sz w:val="21"/>
    </w:rPr>
  </w:style>
  <w:style w:type="paragraph" w:styleId="Heading1">
    <w:name w:val="heading 1"/>
    <w:basedOn w:val="Normal"/>
    <w:pPr>
      <w:keepNext/>
      <w:keepLines/>
      <w:spacing w:before="600" w:after="240"/>
      <w:ind w:firstLine="0"/>
      <w:outlineLvl w:val="0"/>
    </w:pPr>
    <w:rPr>
      <w:rFonts w:ascii="Calibri" w:hAnsi="Calibri" w:eastAsia="Microsoft YaHei"/>
      <w:b/>
      <w:color w:val="2E5C4E"/>
      <w:sz w:val="36"/>
    </w:rPr>
  </w:style>
  <w:style w:type="paragraph" w:styleId="Heading2">
    <w:name w:val="heading 2"/>
    <w:basedOn w:val="Normal"/>
    <w:pPr>
      <w:keepNext/>
      <w:keepLines/>
      <w:spacing w:before="400" w:after="160"/>
      <w:ind w:firstLine="0"/>
      <w:outlineLvl w:val="1"/>
    </w:pPr>
    <w:rPr>
      <w:rFonts w:ascii="Calibri" w:hAnsi="Calibri" w:eastAsia="Microsoft YaHei"/>
      <w:b/>
      <w:color w:val="3D7A66"/>
      <w:sz w:val="28"/>
    </w:rPr>
  </w:style>
  <w:style w:type="paragraph" w:styleId="Heading3">
    <w:name w:val="heading 3"/>
    <w:basedOn w:val="Normal"/>
    <w:pPr>
      <w:keepNext/>
      <w:keepLines/>
      <w:spacing w:before="280" w:after="120"/>
      <w:ind w:firstLine="0"/>
      <w:outlineLvl w:val="2"/>
    </w:pPr>
    <w:rPr>
      <w:rFonts w:ascii="Calibri" w:hAnsi="Calibri" w:eastAsia="Microsoft YaHei"/>
      <w:b/>
      <w:color w:val="4A4A6A"/>
      <w:sz w:val="24"/>
    </w:rPr>
  </w:style>
  <w:style w:type="paragraph" w:styleId="Caption">
    <w:name w:val="Caption"/>
    <w:basedOn w:val="Normal"/>
    <w:pPr>
      <w:spacing w:before="60" w:after="320"/>
      <w:ind w:firstLine="0"/>
      <w:jc w:val="center"/>
    </w:pPr>
    <w:rPr>
      <w:rFonts w:ascii="Calibri" w:hAnsi="Calibri" w:eastAsia="Microsoft YaHei"/>
      <w:color w:val="8A8AA2"/>
      <w:sz w:val="20"/>
    </w:rPr>
  </w:style>
  <w:style w:type="paragraph" w:styleId="TOC1">
    <w:name w:val="toc 1"/>
    <w:basedOn w:val="Normal"/>
    <w:pPr>
      <w:tabs>
        <w:tab w:val="right" w:leader="dot" w:pos="9350"/>
      </w:tabs>
      <w:spacing w:before="200" w:after="60"/>
      <w:ind w:left="0" w:firstLine="0"/>
    </w:pPr>
    <w:rPr>
      <w:rFonts w:ascii="Calibri" w:hAnsi="Calibri" w:eastAsia="Microsoft YaHei"/>
      <w:b/>
      <w:color w:val="1A1A2E"/>
    </w:rPr>
  </w:style>
  <w:style w:type="paragraph" w:styleId="TOC2">
    <w:name w:val="toc 2"/>
    <w:basedOn w:val="Normal"/>
    <w:pPr>
      <w:tabs>
        <w:tab w:val="right" w:leader="dot" w:pos="9350"/>
      </w:tabs>
      <w:spacing w:before="60" w:after="60"/>
      <w:ind w:left="360" w:firstLine="0"/>
    </w:pPr>
    <w:rPr>
      <w:rFonts w:ascii="Calibri" w:hAnsi="Calibri" w:eastAsia="Microsoft YaHei"/>
      <w:color w:val="4A4A6A"/>
    </w:rPr>
  </w:style>
</w:styles>
</file>

<file path=word/_rels/document.xml.rels><?xml version='1.0' encoding='UTF-8'?>
<Relationships xmlns="http://schemas.openxmlformats.org/package/2006/relationships"><Relationship Type="http://schemas.openxmlformats.org/officeDocument/2006/relationships/styles" Target="styles.xml" Id="Re8e74a21d3de42e6" /><Relationship Type="http://schemas.openxmlformats.org/officeDocument/2006/relationships/numbering" Target="numbering.xml" Id="R86c7dbb7e58a4a41" /><Relationship Type="http://schemas.openxmlformats.org/officeDocument/2006/relationships/header" Target="header1.xml" Id="Reb5019ca6ece410c" /><Relationship Type="http://schemas.openxmlformats.org/officeDocument/2006/relationships/footer" Target="footer1.xml" Id="R8df3ca01b10742fa" /><Relationship Type="http://schemas.openxmlformats.org/officeDocument/2006/relationships/settings" Target="settings.xml" Id="R286dd9ad03f54dfa" /></Relationships>
</file>